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Annual Report from the APGF Secretariat for 2016-2017</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The 2016-2017 financial year has demonstrated further growth for the APGF organisation as a whole.  If 2015-2016 was the year of forming concrete constitutional foundations, and working out how the organisation was to go forward, 2016-2017, has been all about taking the steps to help that happen in practice. </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Our APGF Council, which includes the APGF Secretariat, and Councillors that represent each member party of the APGF, have been meeting monthly to progress the goals of Council. Fortnightly, between these Council meetings, the Management and Administration Committee (MAC) have met to progress any workload items as requested by the Council. This model seems to work well for our organisation, which is so dependent on volunteer time, so having a Secretariat and MAC to follow up on items, allows for the better use of Council time. I.e. a draft for consideration could be written by MAC for Council, rather than try and write the draft during the Council call. </w:t>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 “Membership Committee” and “Fundraising and Finance Committee” also meet monthly, and Membership Committee in particular have worked through a significant backlog in interested party applications that had been flagged, but were previously unable to be processed due to waiting on the APGF Constitution to be finalised. So this past year, has seen an extraordinary jump for the APGF in member groups. This includes new associate members as follows; Fijian Greens, Palestinian Greens, Atjeh Green Party, Parti Hijau Indonesia, Green Party of Iraq. </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APGF have also welcomed two new full member parties; the Green Party of Lebanon and the Trees Party of Taiwan. </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Our APGF Annual General Meeting was held on 29 October 2016, which saw a change in APGF leadership and a number of APGF Councillors stepping down, as new representatives stepped into the role. One of the key strengths of the Secretariat, has been helping keep consistency and assisting knowledge transfer in these times of transition.</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Another major focus for the APGF Secretariat, for much of this last financial year, has been the lead up to, and participation of APGF in the Global Greens Congress. A separate report has been written on this key event, suffice to say it was held in Liverpool UK, 30 March - 2 April 2017, and involved coming together of greens from around the world. For many delegates, it was there first time out of their home countries, let alone to a global event. </w:t>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The Secretariat workload expanded to include travel arrangements, flights, accommodation, shuttles, financial tracking, reimbursements, as well as supporting the APGF organisational agenda at Congress. </w:t>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Following the Congress, the APGF had their annual Council face to face meeting. This was held at the Jury’s Inn, Liverpool 3rd April 2017, and as above, a separate report has been written on this outlining what the key learnings were.  The collective APGF Council work so well face to face, the productivity is incredible and the ability of the group to consider one another’s viewpoints to reach common understandings is unparalleled when compared to monthly Council skype calls.  The Secretariat members worked hard to facilitate this face to face meeting, both logistically with bookings, budget, and set up, but also with working out the agenda, and progressing through it on the day. </w:t>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Thanks to the face to face meeting, the APGF Council were able to build the groundwork for the APGF strategic plan with priorities.  Following this, came the completion of the APGF Strategic Plan 2017 - 2022, </w:t>
      </w:r>
      <w:r w:rsidDel="00000000" w:rsidR="00000000" w:rsidRPr="00000000">
        <w:rPr>
          <w:rFonts w:ascii="Calibri" w:cs="Calibri" w:eastAsia="Calibri" w:hAnsi="Calibri"/>
          <w:highlight w:val="white"/>
          <w:rtl w:val="0"/>
        </w:rPr>
        <w:t xml:space="preserve">which is a huge achievement for the organisation, and will help aid decision making, budget planning and priorities for the region going forward. </w:t>
      </w:r>
    </w:p>
    <w:p w:rsidR="00000000" w:rsidDel="00000000" w:rsidP="00000000" w:rsidRDefault="00000000" w:rsidRPr="00000000" w14:paraId="00000012">
      <w:pPr>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Another learning for the APGF Council and Secretariat over this last year, has been to articulate what our internal expectations on ourselves are. The APGF Council reaffirmed their individual commitments as Councillors to attend APGF meetings, and offer written comment on occasions where they might not be able to join. If a Councillor misses three APGF Council meetings, then the APGF Convenors will contact that person and their party to discuss what could be done to improve participation, and whether a replacement Councillor needs to be elected. This has been a good learning for APGF, to maintain best practice engagement, maintain linkages with Councillors and parties, and follow up when these self-imposed standards are not being met. </w:t>
      </w:r>
    </w:p>
    <w:p w:rsidR="00000000" w:rsidDel="00000000" w:rsidP="00000000" w:rsidRDefault="00000000" w:rsidRPr="00000000" w14:paraId="00000014">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Finally, the networks within the APGF - both Women’s Network and the Young Greens Network, have both progressed in their development. </w:t>
      </w:r>
    </w:p>
    <w:p w:rsidR="00000000" w:rsidDel="00000000" w:rsidP="00000000" w:rsidRDefault="00000000" w:rsidRPr="00000000" w14:paraId="00000016">
      <w:pPr>
        <w:rPr/>
      </w:pPr>
      <w:r w:rsidDel="00000000" w:rsidR="00000000" w:rsidRPr="00000000">
        <w:rPr>
          <w:rFonts w:ascii="Calibri" w:cs="Calibri" w:eastAsia="Calibri" w:hAnsi="Calibri"/>
          <w:highlight w:val="white"/>
          <w:rtl w:val="0"/>
        </w:rPr>
        <w:t xml:space="preserve">The APGF Women’s Network now has their own independent elected leadership, with a similar structure to the APGF Council. The APGF trainee provides the secretarial support to this group, in the same way the APGF Secretary does to the APGF Council. As such, the Women’s Network have started progressing their own program of work, including a stocktake on how all regional green parties perform in relation to encouraging gender balance within their parties. </w:t>
      </w: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